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590C7" w14:textId="0CD1F243" w:rsidR="00056A73" w:rsidRPr="00056A73" w:rsidRDefault="00056A73" w:rsidP="00056A73">
      <w:pPr>
        <w:rPr>
          <w:lang w:val="es-ES"/>
        </w:rPr>
      </w:pPr>
    </w:p>
    <w:p w14:paraId="18274246" w14:textId="77777777" w:rsidR="00543DCF" w:rsidRPr="00543DCF" w:rsidRDefault="00543DCF" w:rsidP="00543D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 w:eastAsia="es-ES"/>
        </w:rPr>
      </w:pPr>
      <w:r w:rsidRPr="00543DC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 w:eastAsia="es-ES"/>
        </w:rPr>
        <w:t>Una trabajadora hotelera logra la incapacidad permanente absoluta tras ganar una batalla judicial contra el INSS</w:t>
      </w:r>
    </w:p>
    <w:p w14:paraId="15F244D1" w14:textId="77777777" w:rsidR="00543DCF" w:rsidRPr="00543DCF" w:rsidRDefault="00543DCF" w:rsidP="00543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43DC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El Juzgado de lo Social </w:t>
      </w:r>
      <w:proofErr w:type="spellStart"/>
      <w:r w:rsidRPr="00543DC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nº</w:t>
      </w:r>
      <w:proofErr w:type="spellEnd"/>
      <w:r w:rsidRPr="00543DC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2 de Palma de Mallorca ha dictado sentencia a favor de una trabajadora hotelera que reclamaba el reconocimiento de una incapacidad permanente absoluta. La resolución, fechada el 7 de marzo de 2025, obliga al Instituto Nacional de la Seguridad Social (INSS) a concederle una prestación del 100% de su base reguladora, tras haberle denegado inicialmente su solicitud.</w:t>
      </w:r>
    </w:p>
    <w:p w14:paraId="0A46BCDA" w14:textId="77777777" w:rsidR="00543DCF" w:rsidRPr="00543DCF" w:rsidRDefault="00543DCF" w:rsidP="00543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43DC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La afectada, de profesión camarera de hotel, sufre un </w:t>
      </w:r>
      <w:r w:rsidRPr="00543DC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síndrome de sensibilización central severo</w:t>
      </w:r>
      <w:r w:rsidRPr="00543DC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, que incluye fibromialgia de grado III, síndrome de fatiga crónica y sensibilidad química múltiple, además de otras patologías como </w:t>
      </w:r>
      <w:proofErr w:type="spellStart"/>
      <w:r w:rsidRPr="00543DC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trocanteritis</w:t>
      </w:r>
      <w:proofErr w:type="spellEnd"/>
      <w:r w:rsidRPr="00543DC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bilateral y trastorno de estrés postraumático. A pesar de estas afecciones, el INSS le había negado la incapacidad permanente, argumentando que no existían limitaciones funcionales suficientes.</w:t>
      </w:r>
    </w:p>
    <w:p w14:paraId="56C7B024" w14:textId="77777777" w:rsidR="00543DCF" w:rsidRPr="00543DCF" w:rsidRDefault="00543DCF" w:rsidP="00543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43DC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La sentencia reconoce que la afectada tiene </w:t>
      </w:r>
      <w:r w:rsidRPr="00543DC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severas limitaciones para desarrollar cualquier tipo de actividad laboral, incluso en puestos sedentarios</w:t>
      </w:r>
      <w:r w:rsidRPr="00543DC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, debido al intenso dolor y fatiga que padece, y destaca que sus dolencias no han mejorado pese a los tratamientos médicos y el uso de opioides de tercer escalón.</w:t>
      </w:r>
    </w:p>
    <w:p w14:paraId="45BD30B7" w14:textId="09931FFB" w:rsidR="00543DCF" w:rsidRPr="00543DCF" w:rsidRDefault="00543DCF" w:rsidP="00543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43DC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Este éxito judicial ha sido posible gracias a la intervención del despacho </w:t>
      </w:r>
      <w:r w:rsidRPr="00543DC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Molina Advocats</w:t>
      </w:r>
      <w:r w:rsidRPr="00543DC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, dirigido por el abogado </w:t>
      </w:r>
      <w:r w:rsidRPr="00543DC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José Enrique Molina Barranco</w:t>
      </w:r>
      <w:r w:rsidRPr="00543DC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, quien representó a la demandante durante el proceso. "Es una victoria de la justicia social y un paso más en el reconocimiento de enfermedades crónicas incapacitantes que a menudo son subestimadas por las administraciones", </w:t>
      </w:r>
    </w:p>
    <w:p w14:paraId="0602BBF1" w14:textId="77777777" w:rsidR="00543DCF" w:rsidRPr="00543DCF" w:rsidRDefault="00543DCF" w:rsidP="00543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43DC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El fallo condena al INSS a abonar la prestación con </w:t>
      </w:r>
      <w:r w:rsidRPr="00543DC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efectos económicos desde el 22 de marzo de 2024</w:t>
      </w:r>
      <w:r w:rsidRPr="00543DC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, aunque la Seguridad Social aún tiene la opción de recurrir la decisión ante el Tribunal Superior de Justicia.</w:t>
      </w:r>
    </w:p>
    <w:p w14:paraId="31F0CFC3" w14:textId="77777777" w:rsidR="00543DCF" w:rsidRPr="00543DCF" w:rsidRDefault="00543DCF" w:rsidP="00543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43DC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Esta sentencia sienta un precedente importante para personas en situaciones similares, que luchan por el reconocimiento de sus derechos frente a las instituciones.</w:t>
      </w:r>
    </w:p>
    <w:p w14:paraId="551603D1" w14:textId="378FFC34" w:rsidR="00B005B6" w:rsidRPr="00543DCF" w:rsidRDefault="00543DCF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F628C02" wp14:editId="1DE8DDD6">
            <wp:extent cx="5391150" cy="5391150"/>
            <wp:effectExtent l="0" t="0" r="0" b="0"/>
            <wp:docPr id="2247263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05B6" w:rsidRPr="00543D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7A5"/>
    <w:rsid w:val="00056A73"/>
    <w:rsid w:val="00271F80"/>
    <w:rsid w:val="004027B0"/>
    <w:rsid w:val="004A04A0"/>
    <w:rsid w:val="00543DCF"/>
    <w:rsid w:val="00560195"/>
    <w:rsid w:val="007714CC"/>
    <w:rsid w:val="00805B2D"/>
    <w:rsid w:val="00933629"/>
    <w:rsid w:val="00976065"/>
    <w:rsid w:val="009C57A5"/>
    <w:rsid w:val="00A43CDC"/>
    <w:rsid w:val="00B005B6"/>
    <w:rsid w:val="00B55413"/>
    <w:rsid w:val="00DC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99673AA-9516-4D32-B451-0FA48FACE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9C57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C57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57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57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C57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C57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C57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C57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C57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C57A5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C57A5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57A5"/>
    <w:rPr>
      <w:rFonts w:eastAsiaTheme="majorEastAsia" w:cstheme="majorBidi"/>
      <w:color w:val="0F4761" w:themeColor="accent1" w:themeShade="BF"/>
      <w:sz w:val="28"/>
      <w:szCs w:val="28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57A5"/>
    <w:rPr>
      <w:rFonts w:eastAsiaTheme="majorEastAsia" w:cstheme="majorBidi"/>
      <w:i/>
      <w:iCs/>
      <w:color w:val="0F4761" w:themeColor="accent1" w:themeShade="BF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C57A5"/>
    <w:rPr>
      <w:rFonts w:eastAsiaTheme="majorEastAsia" w:cstheme="majorBidi"/>
      <w:color w:val="0F4761" w:themeColor="accent1" w:themeShade="B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C57A5"/>
    <w:rPr>
      <w:rFonts w:eastAsiaTheme="majorEastAsia" w:cstheme="majorBidi"/>
      <w:i/>
      <w:iCs/>
      <w:color w:val="595959" w:themeColor="text1" w:themeTint="A6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C57A5"/>
    <w:rPr>
      <w:rFonts w:eastAsiaTheme="majorEastAsia" w:cstheme="majorBidi"/>
      <w:color w:val="595959" w:themeColor="text1" w:themeTint="A6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C57A5"/>
    <w:rPr>
      <w:rFonts w:eastAsiaTheme="majorEastAsia" w:cstheme="majorBidi"/>
      <w:i/>
      <w:iCs/>
      <w:color w:val="272727" w:themeColor="text1" w:themeTint="D8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C57A5"/>
    <w:rPr>
      <w:rFonts w:eastAsiaTheme="majorEastAsia" w:cstheme="majorBidi"/>
      <w:color w:val="272727" w:themeColor="text1" w:themeTint="D8"/>
      <w:lang w:val="ca-ES"/>
    </w:rPr>
  </w:style>
  <w:style w:type="paragraph" w:styleId="Ttulo">
    <w:name w:val="Title"/>
    <w:basedOn w:val="Normal"/>
    <w:next w:val="Normal"/>
    <w:link w:val="TtuloCar"/>
    <w:uiPriority w:val="10"/>
    <w:qFormat/>
    <w:rsid w:val="009C57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C57A5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9C57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C57A5"/>
    <w:rPr>
      <w:rFonts w:eastAsiaTheme="majorEastAsia" w:cstheme="majorBidi"/>
      <w:color w:val="595959" w:themeColor="text1" w:themeTint="A6"/>
      <w:spacing w:val="15"/>
      <w:sz w:val="28"/>
      <w:szCs w:val="28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9C57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C57A5"/>
    <w:rPr>
      <w:i/>
      <w:iCs/>
      <w:color w:val="404040" w:themeColor="text1" w:themeTint="BF"/>
      <w:lang w:val="ca-ES"/>
    </w:rPr>
  </w:style>
  <w:style w:type="paragraph" w:styleId="Prrafodelista">
    <w:name w:val="List Paragraph"/>
    <w:basedOn w:val="Normal"/>
    <w:uiPriority w:val="34"/>
    <w:qFormat/>
    <w:rsid w:val="009C57A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C57A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C57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C57A5"/>
    <w:rPr>
      <w:i/>
      <w:iCs/>
      <w:color w:val="0F4761" w:themeColor="accent1" w:themeShade="BF"/>
      <w:lang w:val="ca-ES"/>
    </w:rPr>
  </w:style>
  <w:style w:type="character" w:styleId="Referenciaintensa">
    <w:name w:val="Intense Reference"/>
    <w:basedOn w:val="Fuentedeprrafopredeter"/>
    <w:uiPriority w:val="32"/>
    <w:qFormat/>
    <w:rsid w:val="009C57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01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308</Words>
  <Characters>1696</Characters>
  <Application>Microsoft Office Word</Application>
  <DocSecurity>0</DocSecurity>
  <Lines>14</Lines>
  <Paragraphs>3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</dc:creator>
  <cp:keywords/>
  <dc:description/>
  <cp:lastModifiedBy>Administracio</cp:lastModifiedBy>
  <cp:revision>2</cp:revision>
  <cp:lastPrinted>2025-02-03T11:53:00Z</cp:lastPrinted>
  <dcterms:created xsi:type="dcterms:W3CDTF">2025-03-11T09:46:00Z</dcterms:created>
  <dcterms:modified xsi:type="dcterms:W3CDTF">2025-03-11T09:46:00Z</dcterms:modified>
</cp:coreProperties>
</file>